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5E" w:rsidRPr="00497D5E" w:rsidRDefault="00497D5E" w:rsidP="00497D5E">
      <w:pPr>
        <w:jc w:val="center"/>
        <w:rPr>
          <w:b/>
        </w:rPr>
      </w:pPr>
    </w:p>
    <w:p w:rsidR="00497D5E" w:rsidRPr="00497D5E" w:rsidRDefault="00497D5E" w:rsidP="00497D5E">
      <w:pPr>
        <w:jc w:val="center"/>
        <w:rPr>
          <w:b/>
        </w:rPr>
      </w:pPr>
      <w:bookmarkStart w:id="0" w:name="_GoBack"/>
      <w:r w:rsidRPr="00497D5E">
        <w:rPr>
          <w:b/>
        </w:rPr>
        <w:t>Thursday June 27, 2013</w:t>
      </w:r>
    </w:p>
    <w:p w:rsidR="00497D5E" w:rsidRPr="00497D5E" w:rsidRDefault="00497D5E" w:rsidP="00497D5E">
      <w:pPr>
        <w:jc w:val="center"/>
        <w:rPr>
          <w:b/>
        </w:rPr>
      </w:pPr>
    </w:p>
    <w:p w:rsidR="00497D5E" w:rsidRPr="00497D5E" w:rsidRDefault="00497D5E" w:rsidP="00497D5E">
      <w:pPr>
        <w:jc w:val="center"/>
        <w:rPr>
          <w:b/>
          <w:sz w:val="28"/>
          <w:szCs w:val="28"/>
        </w:rPr>
      </w:pPr>
      <w:r w:rsidRPr="00497D5E">
        <w:rPr>
          <w:b/>
          <w:sz w:val="28"/>
          <w:szCs w:val="28"/>
        </w:rPr>
        <w:t>When Oral Pathology and Oral Medicine Converge</w:t>
      </w:r>
    </w:p>
    <w:p w:rsidR="00497D5E" w:rsidRPr="00497D5E" w:rsidRDefault="00497D5E" w:rsidP="00497D5E">
      <w:pPr>
        <w:jc w:val="center"/>
        <w:rPr>
          <w:b/>
        </w:rPr>
      </w:pPr>
      <w:r w:rsidRPr="00497D5E">
        <w:rPr>
          <w:b/>
          <w:sz w:val="28"/>
          <w:szCs w:val="28"/>
        </w:rPr>
        <w:t>Physical Examination of the Dental Patient: A Modern Approach</w:t>
      </w:r>
    </w:p>
    <w:p w:rsidR="00497D5E" w:rsidRDefault="00497D5E" w:rsidP="00497D5E"/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>Join us for an in-depth discussion on the following topics:</w:t>
      </w:r>
    </w:p>
    <w:p w:rsidR="00497D5E" w:rsidRPr="00497D5E" w:rsidRDefault="00497D5E" w:rsidP="00497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7D5E">
        <w:rPr>
          <w:sz w:val="20"/>
          <w:szCs w:val="20"/>
        </w:rPr>
        <w:t xml:space="preserve">Physical diagnosis of the head and neck, with an emphasis on skin lesions of the face, neck examination, including thyroid gland, and </w:t>
      </w:r>
      <w:proofErr w:type="spellStart"/>
      <w:r w:rsidRPr="00497D5E">
        <w:rPr>
          <w:sz w:val="20"/>
          <w:szCs w:val="20"/>
        </w:rPr>
        <w:t>cranio</w:t>
      </w:r>
      <w:proofErr w:type="spellEnd"/>
      <w:r w:rsidRPr="00497D5E">
        <w:rPr>
          <w:sz w:val="20"/>
          <w:szCs w:val="20"/>
        </w:rPr>
        <w:t>- facial nerve assessment.</w:t>
      </w:r>
    </w:p>
    <w:p w:rsidR="00497D5E" w:rsidRPr="00497D5E" w:rsidRDefault="00497D5E" w:rsidP="00497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7D5E">
        <w:rPr>
          <w:sz w:val="20"/>
          <w:szCs w:val="20"/>
        </w:rPr>
        <w:t>Systemic diseases commonly seen in aging dental patients. In addition, we will discuss management of these patients in general dental practice.</w:t>
      </w:r>
    </w:p>
    <w:p w:rsidR="00497D5E" w:rsidRPr="00497D5E" w:rsidRDefault="00497D5E" w:rsidP="00497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7D5E">
        <w:rPr>
          <w:sz w:val="20"/>
          <w:szCs w:val="20"/>
        </w:rPr>
        <w:t>Managing commonly encountered oral mucosal lesions.</w:t>
      </w:r>
    </w:p>
    <w:p w:rsidR="00497D5E" w:rsidRPr="00497D5E" w:rsidRDefault="00497D5E" w:rsidP="00497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7D5E">
        <w:rPr>
          <w:sz w:val="20"/>
          <w:szCs w:val="20"/>
        </w:rPr>
        <w:t>Cases seen at UB that presented as diagnostic quandaries.</w:t>
      </w:r>
    </w:p>
    <w:p w:rsidR="00497D5E" w:rsidRPr="00497D5E" w:rsidRDefault="00497D5E" w:rsidP="00497D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97D5E">
        <w:rPr>
          <w:sz w:val="20"/>
          <w:szCs w:val="20"/>
        </w:rPr>
        <w:t>Various biopsy procedures, and patient management after diagnosis.</w:t>
      </w:r>
    </w:p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 xml:space="preserve">Dentists are often the primary provider for patients with oral and maxillofacial pathology. Modern dental care has evolved to the point that </w:t>
      </w:r>
      <w:proofErr w:type="gramStart"/>
      <w:r w:rsidRPr="00497D5E">
        <w:rPr>
          <w:sz w:val="20"/>
          <w:szCs w:val="20"/>
        </w:rPr>
        <w:t>many procedures that were formerly referred to specialists, are now managed by the general practitioners in a dental office</w:t>
      </w:r>
      <w:proofErr w:type="gramEnd"/>
      <w:r w:rsidRPr="00497D5E">
        <w:rPr>
          <w:sz w:val="20"/>
          <w:szCs w:val="20"/>
        </w:rPr>
        <w:t>.</w:t>
      </w:r>
    </w:p>
    <w:bookmarkEnd w:id="0"/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b/>
          <w:sz w:val="20"/>
          <w:szCs w:val="20"/>
        </w:rPr>
      </w:pPr>
      <w:r w:rsidRPr="00497D5E">
        <w:rPr>
          <w:b/>
          <w:sz w:val="20"/>
          <w:szCs w:val="20"/>
        </w:rPr>
        <w:t>Benefit from this presentation by reviewing</w:t>
      </w:r>
    </w:p>
    <w:p w:rsidR="00497D5E" w:rsidRPr="00497D5E" w:rsidRDefault="00497D5E" w:rsidP="00497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D5E">
        <w:rPr>
          <w:sz w:val="20"/>
          <w:szCs w:val="20"/>
        </w:rPr>
        <w:t>Elements of a thorough head and neck/”cancer screening exam” for all patients</w:t>
      </w:r>
    </w:p>
    <w:p w:rsidR="00497D5E" w:rsidRPr="00497D5E" w:rsidRDefault="00497D5E" w:rsidP="00497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D5E">
        <w:rPr>
          <w:sz w:val="20"/>
          <w:szCs w:val="20"/>
        </w:rPr>
        <w:t>Patient vital signs assessment, and why vital signs are critical for proper patient care</w:t>
      </w:r>
    </w:p>
    <w:p w:rsidR="00497D5E" w:rsidRPr="00497D5E" w:rsidRDefault="00497D5E" w:rsidP="00497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D5E">
        <w:rPr>
          <w:sz w:val="20"/>
          <w:szCs w:val="20"/>
        </w:rPr>
        <w:t>Updated information on common systemic diseases seen in aging patients of a modern dental practice</w:t>
      </w:r>
    </w:p>
    <w:p w:rsidR="00497D5E" w:rsidRPr="00497D5E" w:rsidRDefault="00497D5E" w:rsidP="00497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D5E">
        <w:rPr>
          <w:sz w:val="20"/>
          <w:szCs w:val="20"/>
        </w:rPr>
        <w:t>Lesions of the maxillofacial region that the general dentist is likely to encounter</w:t>
      </w:r>
    </w:p>
    <w:p w:rsidR="00497D5E" w:rsidRPr="00497D5E" w:rsidRDefault="00497D5E" w:rsidP="00497D5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7D5E">
        <w:rPr>
          <w:sz w:val="20"/>
          <w:szCs w:val="20"/>
        </w:rPr>
        <w:t>Management schemes for patients with oral and maxillofacial pathology</w:t>
      </w:r>
    </w:p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b/>
          <w:sz w:val="20"/>
          <w:szCs w:val="20"/>
        </w:rPr>
      </w:pPr>
      <w:r w:rsidRPr="00497D5E">
        <w:rPr>
          <w:b/>
          <w:sz w:val="20"/>
          <w:szCs w:val="20"/>
        </w:rPr>
        <w:t>At the end of this program, you should be able to: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Take an accurate medical history without the use of forms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Know how to measure a patient’s blood pressure, pulse rate and rhythm, and respiratory rate and why measurement of vital signs on every patient is key to successful patient management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Perform a thorough head and neck examination, including assessment of deep neck structures and cranial nerves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Have an increased awareness of common systemic disease that affects their patients, and how to provide for the medically compromised patient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Recognize the appearance of common oral mucosal pathological lesions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Know the indications for biopsy of oral lesions</w:t>
      </w:r>
    </w:p>
    <w:p w:rsidR="00497D5E" w:rsidRPr="00497D5E" w:rsidRDefault="00497D5E" w:rsidP="00497D5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97D5E">
        <w:rPr>
          <w:sz w:val="20"/>
          <w:szCs w:val="20"/>
        </w:rPr>
        <w:t>Be familiar with the basic elements of incisional vs. excisional biopsy techniques</w:t>
      </w:r>
    </w:p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b/>
          <w:sz w:val="20"/>
          <w:szCs w:val="20"/>
        </w:rPr>
      </w:pPr>
      <w:r w:rsidRPr="00497D5E">
        <w:rPr>
          <w:b/>
          <w:sz w:val="20"/>
          <w:szCs w:val="20"/>
        </w:rPr>
        <w:t>Intended audience:</w:t>
      </w:r>
    </w:p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>This course is intended for general dentists, dental specialists, dental hygienists, physicians, nurses, and dental or medical students</w:t>
      </w:r>
    </w:p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>Course faculty will use Power Point presentations, small group discussion, case studies and “hands on” demonstration in order to facilitate learning.</w:t>
      </w:r>
    </w:p>
    <w:p w:rsidR="00497D5E" w:rsidRPr="00497D5E" w:rsidRDefault="00497D5E" w:rsidP="00497D5E">
      <w:pPr>
        <w:rPr>
          <w:sz w:val="20"/>
          <w:szCs w:val="20"/>
        </w:rPr>
      </w:pPr>
    </w:p>
    <w:p w:rsidR="00497D5E" w:rsidRPr="00497D5E" w:rsidRDefault="00497D5E" w:rsidP="00497D5E">
      <w:pPr>
        <w:rPr>
          <w:b/>
          <w:i/>
          <w:sz w:val="20"/>
          <w:szCs w:val="20"/>
        </w:rPr>
      </w:pPr>
      <w:r w:rsidRPr="00497D5E">
        <w:rPr>
          <w:b/>
          <w:i/>
          <w:sz w:val="20"/>
          <w:szCs w:val="20"/>
        </w:rPr>
        <w:t>Michael Hatton, DDS</w:t>
      </w:r>
    </w:p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 xml:space="preserve">Clinical Associate Professor &amp; Director of Oral Medicine, </w:t>
      </w:r>
    </w:p>
    <w:p w:rsidR="00497D5E" w:rsidRPr="00497D5E" w:rsidRDefault="00497D5E" w:rsidP="00497D5E">
      <w:pPr>
        <w:rPr>
          <w:sz w:val="20"/>
          <w:szCs w:val="20"/>
        </w:rPr>
      </w:pPr>
      <w:r w:rsidRPr="00497D5E">
        <w:rPr>
          <w:sz w:val="20"/>
          <w:szCs w:val="20"/>
        </w:rPr>
        <w:t>Department of Oral Diagnostic Sciences</w:t>
      </w:r>
    </w:p>
    <w:p w:rsidR="00497D5E" w:rsidRPr="00497D5E" w:rsidRDefault="00497D5E" w:rsidP="00497D5E">
      <w:pPr>
        <w:rPr>
          <w:sz w:val="20"/>
          <w:szCs w:val="20"/>
        </w:rPr>
      </w:pPr>
    </w:p>
    <w:sectPr w:rsidR="00497D5E" w:rsidRPr="00497D5E" w:rsidSect="004F34ED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5E" w:rsidRDefault="00497D5E" w:rsidP="00497D5E">
      <w:r>
        <w:separator/>
      </w:r>
    </w:p>
  </w:endnote>
  <w:endnote w:type="continuationSeparator" w:id="0">
    <w:p w:rsidR="00497D5E" w:rsidRDefault="00497D5E" w:rsidP="004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5E" w:rsidRDefault="00497D5E" w:rsidP="00497D5E">
      <w:r>
        <w:separator/>
      </w:r>
    </w:p>
  </w:footnote>
  <w:footnote w:type="continuationSeparator" w:id="0">
    <w:p w:rsidR="00497D5E" w:rsidRDefault="00497D5E" w:rsidP="00497D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5E" w:rsidRDefault="00497D5E" w:rsidP="00497D5E">
    <w:pPr>
      <w:pStyle w:val="Header"/>
      <w:jc w:val="center"/>
    </w:pPr>
    <w:r>
      <w:rPr>
        <w:noProof/>
      </w:rPr>
      <w:drawing>
        <wp:inline distT="0" distB="0" distL="0" distR="0">
          <wp:extent cx="4029456" cy="2682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ine_full_blue_gray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456" cy="26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7D5E" w:rsidRPr="00497D5E" w:rsidRDefault="00497D5E" w:rsidP="00497D5E">
    <w:pPr>
      <w:jc w:val="center"/>
      <w:rPr>
        <w:b/>
        <w:color w:val="A6A6A6" w:themeColor="background1" w:themeShade="A6"/>
      </w:rPr>
    </w:pPr>
    <w:r w:rsidRPr="00497D5E">
      <w:rPr>
        <w:b/>
        <w:color w:val="A6A6A6" w:themeColor="background1" w:themeShade="A6"/>
      </w:rPr>
      <w:t>34th Annual Chautauqua Dental Congress</w:t>
    </w:r>
  </w:p>
  <w:p w:rsidR="00497D5E" w:rsidRPr="00497D5E" w:rsidRDefault="00497D5E" w:rsidP="00497D5E">
    <w:pPr>
      <w:jc w:val="center"/>
      <w:rPr>
        <w:b/>
        <w:color w:val="A6A6A6" w:themeColor="background1" w:themeShade="A6"/>
      </w:rPr>
    </w:pPr>
    <w:r w:rsidRPr="00497D5E">
      <w:rPr>
        <w:b/>
        <w:color w:val="A6A6A6" w:themeColor="background1" w:themeShade="A6"/>
      </w:rPr>
      <w:t>June 26 - 28, 2013</w:t>
    </w:r>
  </w:p>
  <w:p w:rsidR="00497D5E" w:rsidRDefault="00497D5E" w:rsidP="00497D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113"/>
    <w:multiLevelType w:val="hybridMultilevel"/>
    <w:tmpl w:val="BA02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727BA"/>
    <w:multiLevelType w:val="hybridMultilevel"/>
    <w:tmpl w:val="7B1EA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3F4"/>
    <w:multiLevelType w:val="hybridMultilevel"/>
    <w:tmpl w:val="8972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5E"/>
    <w:rsid w:val="001F5436"/>
    <w:rsid w:val="002E5A58"/>
    <w:rsid w:val="00497D5E"/>
    <w:rsid w:val="004F34ED"/>
    <w:rsid w:val="007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97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D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D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D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97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D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D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D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D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2201</Characters>
  <Application>Microsoft Macintosh Word</Application>
  <DocSecurity>0</DocSecurity>
  <Lines>18</Lines>
  <Paragraphs>5</Paragraphs>
  <ScaleCrop>false</ScaleCrop>
  <Company>SUNY Dental School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Phalen</dc:creator>
  <cp:keywords/>
  <dc:description/>
  <cp:lastModifiedBy>Annamarie Phalen</cp:lastModifiedBy>
  <cp:revision>1</cp:revision>
  <dcterms:created xsi:type="dcterms:W3CDTF">2013-01-18T15:41:00Z</dcterms:created>
  <dcterms:modified xsi:type="dcterms:W3CDTF">2013-01-18T16:57:00Z</dcterms:modified>
</cp:coreProperties>
</file>